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B47F5E">
      <w:pPr>
        <w:rPr>
          <w:sz w:val="20"/>
          <w:szCs w:val="20"/>
        </w:rPr>
      </w:pPr>
      <w:r>
        <w:rPr>
          <w:rFonts w:eastAsia="Times New Roman"/>
          <w:sz w:val="40"/>
          <w:szCs w:val="40"/>
        </w:rPr>
        <w:t>ПРОЕКТ</w:t>
      </w: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00CF6">
      <w:pPr>
        <w:ind w:left="5540"/>
        <w:rPr>
          <w:sz w:val="20"/>
          <w:szCs w:val="20"/>
        </w:rPr>
      </w:pPr>
      <w:r>
        <w:rPr>
          <w:rFonts w:eastAsia="Times New Roman"/>
          <w:sz w:val="24"/>
          <w:szCs w:val="24"/>
        </w:rPr>
        <w:t xml:space="preserve">Новотроицкой сельской </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A6688B">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p>
    <w:p w:rsidR="00595A4A" w:rsidRDefault="00300CF6" w:rsidP="00B47F5E">
      <w:pPr>
        <w:ind w:left="5540"/>
        <w:rPr>
          <w:sz w:val="20"/>
          <w:szCs w:val="20"/>
        </w:rPr>
      </w:pPr>
      <w:r>
        <w:rPr>
          <w:rFonts w:eastAsia="Times New Roman"/>
          <w:sz w:val="24"/>
          <w:szCs w:val="24"/>
        </w:rPr>
        <w:t xml:space="preserve">Новотроицкого сельсовета </w:t>
      </w:r>
      <w:r w:rsidR="00B47F5E">
        <w:rPr>
          <w:rFonts w:eastAsia="Times New Roman"/>
          <w:sz w:val="24"/>
          <w:szCs w:val="24"/>
        </w:rPr>
        <w:t>Частоозерского</w:t>
      </w:r>
      <w:r w:rsidR="00616AEA">
        <w:rPr>
          <w:rFonts w:eastAsia="Times New Roman"/>
          <w:sz w:val="24"/>
          <w:szCs w:val="24"/>
        </w:rPr>
        <w:t xml:space="preserve"> </w:t>
      </w:r>
      <w:r w:rsidR="00B47F5E">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300CF6" w:rsidP="00B47F5E">
      <w:pPr>
        <w:spacing w:line="237" w:lineRule="auto"/>
        <w:ind w:left="740"/>
        <w:jc w:val="center"/>
        <w:rPr>
          <w:b/>
          <w:sz w:val="20"/>
          <w:szCs w:val="20"/>
        </w:rPr>
      </w:pPr>
      <w:r>
        <w:rPr>
          <w:rFonts w:eastAsia="Times New Roman"/>
          <w:b/>
          <w:sz w:val="28"/>
          <w:szCs w:val="28"/>
        </w:rPr>
        <w:t xml:space="preserve">Новотроицкого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spacing w:line="275" w:lineRule="auto"/>
        <w:jc w:val="center"/>
        <w:rPr>
          <w:sz w:val="20"/>
          <w:szCs w:val="20"/>
        </w:rPr>
      </w:pPr>
      <w:r>
        <w:rPr>
          <w:rFonts w:eastAsia="Times New Roman"/>
          <w:sz w:val="28"/>
          <w:szCs w:val="28"/>
          <w:u w:val="single"/>
        </w:rPr>
        <w:lastRenderedPageBreak/>
        <w:t xml:space="preserve">Местные нормативы градостроительного проектирования </w:t>
      </w:r>
      <w:r w:rsidR="007118FE">
        <w:rPr>
          <w:rFonts w:eastAsia="Times New Roman"/>
          <w:sz w:val="28"/>
          <w:szCs w:val="28"/>
          <w:u w:val="single"/>
        </w:rPr>
        <w:t xml:space="preserve">Новотроицкого сельсовета </w:t>
      </w:r>
      <w:r>
        <w:rPr>
          <w:rFonts w:eastAsia="Times New Roman"/>
          <w:sz w:val="28"/>
          <w:szCs w:val="28"/>
          <w:u w:val="single"/>
        </w:rPr>
        <w:t>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 xml:space="preserve">Настоящие местные нормативы градостроительного проектирования </w:t>
      </w:r>
      <w:r w:rsidR="007118FE">
        <w:rPr>
          <w:rFonts w:eastAsia="Times New Roman"/>
          <w:sz w:val="24"/>
          <w:szCs w:val="24"/>
        </w:rPr>
        <w:t xml:space="preserve">Новотроицкого сельсовета </w:t>
      </w:r>
      <w:r>
        <w:rPr>
          <w:rFonts w:eastAsia="Times New Roman"/>
          <w:sz w:val="24"/>
          <w:szCs w:val="24"/>
        </w:rPr>
        <w:t>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r w:rsidR="007118FE">
        <w:rPr>
          <w:rFonts w:eastAsia="Times New Roman"/>
          <w:sz w:val="24"/>
          <w:szCs w:val="24"/>
        </w:rPr>
        <w:t xml:space="preserve">Новотроицкого сельсовета </w:t>
      </w:r>
      <w:r>
        <w:rPr>
          <w:rFonts w:eastAsia="Times New Roman"/>
          <w:sz w:val="24"/>
          <w:szCs w:val="24"/>
        </w:rPr>
        <w:t>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427E66">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300CF6">
        <w:rPr>
          <w:rFonts w:eastAsia="Times New Roman"/>
          <w:sz w:val="24"/>
          <w:szCs w:val="24"/>
        </w:rPr>
        <w:t xml:space="preserve">Новотроицкого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7118FE" w:rsidP="006D3644">
      <w:pPr>
        <w:spacing w:line="258" w:lineRule="auto"/>
        <w:ind w:right="560" w:firstLine="737"/>
        <w:rPr>
          <w:rFonts w:eastAsia="Times New Roman"/>
          <w:sz w:val="23"/>
          <w:szCs w:val="23"/>
        </w:rPr>
      </w:pPr>
      <w:r>
        <w:rPr>
          <w:rFonts w:eastAsia="Times New Roman"/>
          <w:sz w:val="23"/>
          <w:szCs w:val="23"/>
        </w:rPr>
        <w:t xml:space="preserve">Новотроицкий сельсовет </w:t>
      </w:r>
      <w:r w:rsidR="006D3644">
        <w:rPr>
          <w:rFonts w:eastAsia="Times New Roman"/>
          <w:sz w:val="23"/>
          <w:szCs w:val="23"/>
        </w:rPr>
        <w:t xml:space="preserve"> расположен в </w:t>
      </w:r>
      <w:r>
        <w:rPr>
          <w:rFonts w:eastAsia="Times New Roman"/>
          <w:sz w:val="23"/>
          <w:szCs w:val="23"/>
        </w:rPr>
        <w:t xml:space="preserve">восточной части Частоозерского района  в  30 </w:t>
      </w:r>
      <w:r w:rsidR="00B47F5E">
        <w:rPr>
          <w:rFonts w:eastAsia="Times New Roman"/>
          <w:sz w:val="23"/>
          <w:szCs w:val="23"/>
        </w:rPr>
        <w:t xml:space="preserve"> км</w:t>
      </w:r>
      <w:r>
        <w:rPr>
          <w:rFonts w:eastAsia="Times New Roman"/>
          <w:sz w:val="23"/>
          <w:szCs w:val="23"/>
        </w:rPr>
        <w:t xml:space="preserve"> от районного центра – с. Частоозерье  </w:t>
      </w:r>
      <w:r w:rsidR="00164721">
        <w:rPr>
          <w:rFonts w:eastAsia="Times New Roman"/>
          <w:sz w:val="23"/>
          <w:szCs w:val="23"/>
        </w:rPr>
        <w:t xml:space="preserve">  и  в </w:t>
      </w:r>
      <w:r>
        <w:rPr>
          <w:rFonts w:eastAsia="Times New Roman"/>
          <w:bCs/>
          <w:sz w:val="24"/>
          <w:szCs w:val="24"/>
          <w:lang w:eastAsia="ar-SA"/>
        </w:rPr>
        <w:t>50</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 ж</w:t>
      </w:r>
      <w:proofErr w:type="gramEnd"/>
      <w:r w:rsidR="00164721">
        <w:rPr>
          <w:rFonts w:eastAsia="Times New Roman"/>
          <w:bCs/>
          <w:sz w:val="24"/>
          <w:szCs w:val="24"/>
          <w:lang w:eastAsia="ar-SA"/>
        </w:rPr>
        <w:t>/</w:t>
      </w:r>
      <w:proofErr w:type="spellStart"/>
      <w:r w:rsidR="00164721">
        <w:rPr>
          <w:rFonts w:eastAsia="Times New Roman"/>
          <w:bCs/>
          <w:sz w:val="24"/>
          <w:szCs w:val="24"/>
          <w:lang w:eastAsia="ar-SA"/>
        </w:rPr>
        <w:t>д</w:t>
      </w:r>
      <w:proofErr w:type="spellEnd"/>
      <w:r w:rsidR="00164721">
        <w:rPr>
          <w:rFonts w:eastAsia="Times New Roman"/>
          <w:bCs/>
          <w:sz w:val="24"/>
          <w:szCs w:val="24"/>
          <w:lang w:eastAsia="ar-SA"/>
        </w:rPr>
        <w:t xml:space="preserve"> станции</w:t>
      </w:r>
      <w:r w:rsidR="00300CF6">
        <w:rPr>
          <w:rFonts w:eastAsia="Times New Roman"/>
          <w:bCs/>
          <w:sz w:val="24"/>
          <w:szCs w:val="24"/>
          <w:lang w:eastAsia="ar-SA"/>
        </w:rPr>
        <w:t xml:space="preserve">  </w:t>
      </w:r>
      <w:r w:rsidR="00164721">
        <w:rPr>
          <w:rFonts w:eastAsia="Times New Roman"/>
          <w:sz w:val="23"/>
          <w:szCs w:val="23"/>
        </w:rPr>
        <w:t>г. Петухово.</w:t>
      </w:r>
    </w:p>
    <w:p w:rsidR="00595A4A" w:rsidRDefault="007118FE">
      <w:pPr>
        <w:ind w:left="740"/>
        <w:rPr>
          <w:sz w:val="20"/>
          <w:szCs w:val="20"/>
        </w:rPr>
      </w:pPr>
      <w:r>
        <w:rPr>
          <w:rFonts w:eastAsia="Times New Roman"/>
          <w:sz w:val="23"/>
          <w:szCs w:val="23"/>
        </w:rPr>
        <w:t xml:space="preserve">Новотроицкий сельсовет </w:t>
      </w:r>
      <w:r w:rsidR="00B47F5E">
        <w:rPr>
          <w:rFonts w:eastAsia="Times New Roman"/>
          <w:sz w:val="23"/>
          <w:szCs w:val="23"/>
        </w:rPr>
        <w:t xml:space="preserve"> – муниципальное образование</w:t>
      </w:r>
      <w:r>
        <w:rPr>
          <w:rFonts w:eastAsia="Times New Roman"/>
          <w:sz w:val="23"/>
          <w:szCs w:val="23"/>
        </w:rPr>
        <w:t xml:space="preserve"> Частоозерского района </w:t>
      </w:r>
      <w:r w:rsidR="006D3644">
        <w:rPr>
          <w:rFonts w:eastAsia="Times New Roman"/>
          <w:sz w:val="23"/>
          <w:szCs w:val="23"/>
        </w:rPr>
        <w:t>Курганской области</w:t>
      </w:r>
      <w:r w:rsidR="00B47F5E">
        <w:rPr>
          <w:rFonts w:eastAsia="Times New Roman"/>
          <w:sz w:val="23"/>
          <w:szCs w:val="23"/>
        </w:rPr>
        <w:t>.</w:t>
      </w:r>
    </w:p>
    <w:p w:rsidR="00595A4A" w:rsidRDefault="00595A4A">
      <w:pPr>
        <w:spacing w:line="272" w:lineRule="exact"/>
        <w:rPr>
          <w:sz w:val="20"/>
          <w:szCs w:val="20"/>
        </w:rPr>
      </w:pPr>
    </w:p>
    <w:p w:rsidR="00595A4A" w:rsidRDefault="007118FE">
      <w:pPr>
        <w:spacing w:line="244" w:lineRule="auto"/>
        <w:ind w:right="580" w:firstLine="720"/>
        <w:rPr>
          <w:sz w:val="20"/>
          <w:szCs w:val="20"/>
        </w:rPr>
      </w:pPr>
      <w:r>
        <w:rPr>
          <w:rFonts w:eastAsia="Times New Roman"/>
          <w:sz w:val="24"/>
          <w:szCs w:val="24"/>
        </w:rPr>
        <w:t xml:space="preserve"> Территория сельсовета </w:t>
      </w:r>
      <w:r w:rsidR="00B47F5E">
        <w:rPr>
          <w:rFonts w:eastAsia="Times New Roman"/>
          <w:sz w:val="24"/>
          <w:szCs w:val="24"/>
        </w:rPr>
        <w:t xml:space="preserve"> граничит </w:t>
      </w:r>
      <w:r w:rsidR="00B30B93">
        <w:rPr>
          <w:rFonts w:eastAsia="Times New Roman"/>
          <w:sz w:val="24"/>
          <w:szCs w:val="24"/>
        </w:rPr>
        <w:t>с  Восточным</w:t>
      </w:r>
      <w:r>
        <w:rPr>
          <w:rFonts w:eastAsia="Times New Roman"/>
          <w:sz w:val="24"/>
          <w:szCs w:val="24"/>
        </w:rPr>
        <w:t xml:space="preserve">,  </w:t>
      </w:r>
      <w:proofErr w:type="spellStart"/>
      <w:r>
        <w:rPr>
          <w:rFonts w:eastAsia="Times New Roman"/>
          <w:sz w:val="24"/>
          <w:szCs w:val="24"/>
        </w:rPr>
        <w:t>Бутыринским</w:t>
      </w:r>
      <w:proofErr w:type="spellEnd"/>
      <w:proofErr w:type="gramStart"/>
      <w:r>
        <w:rPr>
          <w:rFonts w:eastAsia="Times New Roman"/>
          <w:sz w:val="24"/>
          <w:szCs w:val="24"/>
        </w:rPr>
        <w:t xml:space="preserve"> </w:t>
      </w:r>
      <w:r w:rsidR="00427E66">
        <w:rPr>
          <w:rFonts w:eastAsia="Times New Roman"/>
          <w:sz w:val="24"/>
          <w:szCs w:val="24"/>
        </w:rPr>
        <w:t>,</w:t>
      </w:r>
      <w:proofErr w:type="gramEnd"/>
      <w:r w:rsidR="00427E66">
        <w:rPr>
          <w:rFonts w:eastAsia="Times New Roman"/>
          <w:sz w:val="24"/>
          <w:szCs w:val="24"/>
        </w:rPr>
        <w:t xml:space="preserve"> Частоозерским </w:t>
      </w:r>
      <w:r>
        <w:rPr>
          <w:rFonts w:eastAsia="Times New Roman"/>
          <w:sz w:val="24"/>
          <w:szCs w:val="24"/>
        </w:rPr>
        <w:t>сельсоветами</w:t>
      </w:r>
      <w:r w:rsidR="00427E66">
        <w:rPr>
          <w:rFonts w:eastAsia="Times New Roman"/>
          <w:sz w:val="24"/>
          <w:szCs w:val="24"/>
        </w:rPr>
        <w:t xml:space="preserve"> и с  </w:t>
      </w:r>
      <w:proofErr w:type="spellStart"/>
      <w:r w:rsidR="00427E66">
        <w:rPr>
          <w:rFonts w:eastAsia="Times New Roman"/>
          <w:sz w:val="24"/>
          <w:szCs w:val="24"/>
        </w:rPr>
        <w:t>Петуховским</w:t>
      </w:r>
      <w:proofErr w:type="spellEnd"/>
      <w:r w:rsidR="00427E66">
        <w:rPr>
          <w:rFonts w:eastAsia="Times New Roman"/>
          <w:sz w:val="24"/>
          <w:szCs w:val="24"/>
        </w:rPr>
        <w:t xml:space="preserve"> районом .</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7118FE">
        <w:rPr>
          <w:rFonts w:eastAsia="Times New Roman"/>
          <w:sz w:val="24"/>
          <w:szCs w:val="24"/>
        </w:rPr>
        <w:t xml:space="preserve">дминистративный центр сельсовета </w:t>
      </w:r>
      <w:r>
        <w:rPr>
          <w:rFonts w:eastAsia="Times New Roman"/>
          <w:sz w:val="24"/>
          <w:szCs w:val="24"/>
        </w:rPr>
        <w:t xml:space="preserve"> — село </w:t>
      </w:r>
      <w:r w:rsidR="00B30B93">
        <w:rPr>
          <w:rFonts w:eastAsia="Times New Roman"/>
          <w:sz w:val="24"/>
          <w:szCs w:val="24"/>
        </w:rPr>
        <w:t xml:space="preserve"> Новотроицкое</w:t>
      </w:r>
      <w:r>
        <w:rPr>
          <w:rFonts w:eastAsia="Times New Roman"/>
          <w:sz w:val="24"/>
          <w:szCs w:val="24"/>
        </w:rPr>
        <w:t>.</w:t>
      </w:r>
    </w:p>
    <w:p w:rsidR="00595A4A" w:rsidRDefault="00300CF6" w:rsidP="00776176">
      <w:pPr>
        <w:spacing w:line="243" w:lineRule="auto"/>
        <w:rPr>
          <w:sz w:val="20"/>
          <w:szCs w:val="20"/>
        </w:rPr>
      </w:pPr>
      <w:r>
        <w:rPr>
          <w:rFonts w:eastAsia="Times New Roman"/>
          <w:sz w:val="24"/>
          <w:szCs w:val="24"/>
        </w:rPr>
        <w:t>Общая  п</w:t>
      </w:r>
      <w:r w:rsidR="00B47F5E">
        <w:rPr>
          <w:rFonts w:eastAsia="Times New Roman"/>
          <w:sz w:val="24"/>
          <w:szCs w:val="24"/>
        </w:rPr>
        <w:t xml:space="preserve">лощадь </w:t>
      </w:r>
      <w:r>
        <w:rPr>
          <w:rFonts w:eastAsia="Times New Roman"/>
          <w:sz w:val="24"/>
          <w:szCs w:val="24"/>
        </w:rPr>
        <w:t xml:space="preserve">земель </w:t>
      </w:r>
      <w:r w:rsidR="00776176">
        <w:rPr>
          <w:rFonts w:eastAsia="Times New Roman"/>
          <w:sz w:val="24"/>
          <w:szCs w:val="24"/>
        </w:rPr>
        <w:t xml:space="preserve">Новотроицкого сельсовета </w:t>
      </w:r>
      <w:r>
        <w:rPr>
          <w:rFonts w:eastAsia="Times New Roman"/>
          <w:sz w:val="24"/>
          <w:szCs w:val="24"/>
        </w:rPr>
        <w:t xml:space="preserve"> составляет 26373 га</w:t>
      </w:r>
      <w:r w:rsidR="00B47F5E">
        <w:rPr>
          <w:rFonts w:eastAsia="Times New Roman"/>
          <w:sz w:val="24"/>
          <w:szCs w:val="24"/>
        </w:rPr>
        <w:t xml:space="preserve">. </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r w:rsidR="00427E66">
        <w:rPr>
          <w:rFonts w:eastAsia="Times New Roman"/>
          <w:sz w:val="24"/>
          <w:szCs w:val="24"/>
        </w:rPr>
        <w:t xml:space="preserve">Новотроицкого сельсовета </w:t>
      </w:r>
      <w:r>
        <w:rPr>
          <w:rFonts w:eastAsia="Times New Roman"/>
          <w:sz w:val="24"/>
          <w:szCs w:val="24"/>
        </w:rPr>
        <w:t xml:space="preserve"> составляет </w:t>
      </w:r>
      <w:r w:rsidR="00427E66">
        <w:rPr>
          <w:rFonts w:eastAsia="Times New Roman"/>
          <w:sz w:val="24"/>
          <w:szCs w:val="24"/>
        </w:rPr>
        <w:t xml:space="preserve">385 </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A6688B">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A6688B">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745AF5">
              <w:rPr>
                <w:rFonts w:eastAsia="Times New Roman"/>
                <w:sz w:val="20"/>
                <w:szCs w:val="20"/>
              </w:rPr>
              <w:t>6</w:t>
            </w:r>
          </w:p>
        </w:tc>
        <w:tc>
          <w:tcPr>
            <w:tcW w:w="2420" w:type="dxa"/>
            <w:tcBorders>
              <w:bottom w:val="single" w:sz="8" w:space="0" w:color="auto"/>
              <w:right w:val="single" w:sz="8" w:space="0" w:color="auto"/>
            </w:tcBorders>
            <w:vAlign w:val="bottom"/>
          </w:tcPr>
          <w:p w:rsidR="00595A4A" w:rsidRDefault="00745AF5">
            <w:pPr>
              <w:spacing w:line="220" w:lineRule="exact"/>
              <w:jc w:val="center"/>
              <w:rPr>
                <w:sz w:val="20"/>
                <w:szCs w:val="20"/>
              </w:rPr>
            </w:pPr>
            <w:r>
              <w:rPr>
                <w:rFonts w:eastAsia="Times New Roman"/>
                <w:sz w:val="20"/>
                <w:szCs w:val="20"/>
              </w:rPr>
              <w:t>0,5</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745AF5">
              <w:rPr>
                <w:rFonts w:eastAsia="Times New Roman"/>
                <w:sz w:val="20"/>
                <w:szCs w:val="20"/>
              </w:rPr>
              <w:t>6</w:t>
            </w:r>
          </w:p>
        </w:tc>
        <w:tc>
          <w:tcPr>
            <w:tcW w:w="2420" w:type="dxa"/>
            <w:tcBorders>
              <w:bottom w:val="single" w:sz="8" w:space="0" w:color="auto"/>
              <w:right w:val="single" w:sz="8" w:space="0" w:color="auto"/>
            </w:tcBorders>
            <w:vAlign w:val="bottom"/>
          </w:tcPr>
          <w:p w:rsidR="00595A4A" w:rsidRDefault="00745AF5">
            <w:pPr>
              <w:spacing w:line="220" w:lineRule="exact"/>
              <w:jc w:val="center"/>
              <w:rPr>
                <w:sz w:val="20"/>
                <w:szCs w:val="20"/>
              </w:rPr>
            </w:pPr>
            <w:r>
              <w:rPr>
                <w:rFonts w:eastAsia="Times New Roman"/>
                <w:sz w:val="20"/>
                <w:szCs w:val="20"/>
              </w:rPr>
              <w:t>0,5</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595A4A">
            <w:pPr>
              <w:spacing w:line="220" w:lineRule="exact"/>
              <w:ind w:left="1020"/>
              <w:rPr>
                <w:sz w:val="20"/>
                <w:szCs w:val="20"/>
              </w:rPr>
            </w:pPr>
          </w:p>
        </w:tc>
        <w:tc>
          <w:tcPr>
            <w:tcW w:w="2420" w:type="dxa"/>
            <w:tcBorders>
              <w:bottom w:val="single" w:sz="8" w:space="0" w:color="auto"/>
              <w:right w:val="single" w:sz="8" w:space="0" w:color="auto"/>
            </w:tcBorders>
            <w:vAlign w:val="bottom"/>
          </w:tcPr>
          <w:p w:rsidR="00595A4A" w:rsidRDefault="00595A4A" w:rsidP="00745AF5">
            <w:pPr>
              <w:spacing w:line="220" w:lineRule="exact"/>
              <w:rPr>
                <w:sz w:val="20"/>
                <w:szCs w:val="20"/>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A6688B">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A6688B">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A6688B">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A6688B">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A6688B">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A6688B">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A6688B">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A6688B">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A6688B">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A6688B">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A6688B">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A6688B">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A6688B">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A6688B">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A6688B">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A6688B">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A6688B">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A6688B">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A6688B">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A6688B">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A6688B">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A6688B">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A6688B">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A6688B">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A6688B">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A6688B">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A6688B">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A6688B">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A6688B">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A6688B">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A6688B">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A6688B">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A6688B">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A6688B">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A6688B">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A6688B">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A6688B">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A6688B">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A6688B">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A6688B">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A6688B">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A6688B">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A6688B">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A6688B">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A6688B">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A6688B">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A6688B">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A6688B">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A6688B">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A6688B">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A6688B">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A6688B">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A6688B">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A6688B">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A6688B">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A6688B">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A6688B">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A6688B">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A6688B">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sidR="001766F1">
        <w:rPr>
          <w:sz w:val="24"/>
          <w:szCs w:val="24"/>
        </w:rPr>
        <w:t xml:space="preserve">Новотроицкого сельсовета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001766F1">
        <w:rPr>
          <w:sz w:val="24"/>
          <w:szCs w:val="24"/>
        </w:rPr>
        <w:t xml:space="preserve"> Новотроицкого сельсовета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w:t>
      </w:r>
      <w:r w:rsidR="001766F1">
        <w:rPr>
          <w:sz w:val="24"/>
          <w:szCs w:val="24"/>
        </w:rPr>
        <w:t xml:space="preserve"> Новотроицкого сельсовета </w:t>
      </w:r>
      <w:r w:rsidRPr="00934312">
        <w:rPr>
          <w:sz w:val="24"/>
          <w:szCs w:val="24"/>
        </w:rPr>
        <w:t xml:space="preserve"> </w:t>
      </w:r>
      <w:r>
        <w:rPr>
          <w:sz w:val="24"/>
          <w:szCs w:val="24"/>
        </w:rPr>
        <w:t xml:space="preserve">Частоозерского </w:t>
      </w:r>
      <w:r w:rsidRPr="00934312">
        <w:rPr>
          <w:sz w:val="24"/>
          <w:szCs w:val="24"/>
        </w:rPr>
        <w:t xml:space="preserve"> района. </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w:t>
      </w:r>
      <w:proofErr w:type="spellStart"/>
      <w:r w:rsidRPr="00934312">
        <w:rPr>
          <w:sz w:val="24"/>
          <w:szCs w:val="24"/>
        </w:rPr>
        <w:t>ПисьмоМинобрнауки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1766F1">
        <w:rPr>
          <w:sz w:val="24"/>
          <w:szCs w:val="24"/>
        </w:rPr>
        <w:t xml:space="preserve"> Новотроицкого сельсовета </w:t>
      </w:r>
      <w:r w:rsidR="0091320B">
        <w:rPr>
          <w:sz w:val="24"/>
          <w:szCs w:val="24"/>
        </w:rPr>
        <w:t>Частоозерского</w:t>
      </w:r>
      <w:r w:rsidR="00B30B93">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1766F1">
        <w:rPr>
          <w:sz w:val="24"/>
          <w:szCs w:val="24"/>
        </w:rPr>
        <w:t>Новотроицкого сельсовет</w:t>
      </w:r>
      <w:r w:rsidRPr="00934312">
        <w:rPr>
          <w:sz w:val="24"/>
          <w:szCs w:val="24"/>
        </w:rPr>
        <w:t>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B30B93">
        <w:rPr>
          <w:sz w:val="24"/>
          <w:szCs w:val="24"/>
        </w:rPr>
        <w:t xml:space="preserve"> </w:t>
      </w:r>
      <w:r w:rsidRPr="00934312">
        <w:rPr>
          <w:sz w:val="24"/>
          <w:szCs w:val="24"/>
        </w:rPr>
        <w:t xml:space="preserve">электроснабжения, газоснабжения поселений </w:t>
      </w:r>
      <w:r w:rsidR="001766F1">
        <w:rPr>
          <w:sz w:val="24"/>
          <w:szCs w:val="24"/>
        </w:rPr>
        <w:t>Новотроицкого сельсовета</w:t>
      </w:r>
      <w:proofErr w:type="gramStart"/>
      <w:r w:rsidR="001766F1">
        <w:rPr>
          <w:sz w:val="24"/>
          <w:szCs w:val="24"/>
        </w:rPr>
        <w:t xml:space="preserve"> </w:t>
      </w:r>
      <w:r w:rsidRPr="00934312">
        <w:rPr>
          <w:sz w:val="24"/>
          <w:szCs w:val="24"/>
        </w:rPr>
        <w:t>,</w:t>
      </w:r>
      <w:proofErr w:type="gramEnd"/>
      <w:r w:rsidRPr="00934312">
        <w:rPr>
          <w:sz w:val="24"/>
          <w:szCs w:val="24"/>
        </w:rPr>
        <w:t xml:space="preserve"> автомобильных дорог местного значения вне границ населенных пунктов в границах </w:t>
      </w:r>
      <w:r w:rsidR="001766F1">
        <w:rPr>
          <w:sz w:val="24"/>
          <w:szCs w:val="24"/>
        </w:rPr>
        <w:t>Новотроицкого сельсовета .</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1766F1">
        <w:rPr>
          <w:sz w:val="24"/>
          <w:szCs w:val="24"/>
        </w:rPr>
        <w:t xml:space="preserve">Новотроицкого сельсовета </w:t>
      </w:r>
      <w:r w:rsidRPr="00934312">
        <w:rPr>
          <w:sz w:val="24"/>
          <w:szCs w:val="24"/>
        </w:rPr>
        <w:t xml:space="preserve">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w:t>
      </w:r>
      <w:r w:rsidRPr="00934312">
        <w:rPr>
          <w:sz w:val="24"/>
          <w:szCs w:val="24"/>
        </w:rPr>
        <w:lastRenderedPageBreak/>
        <w:t>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r w:rsidR="001766F1">
        <w:rPr>
          <w:sz w:val="24"/>
          <w:szCs w:val="24"/>
        </w:rPr>
        <w:t xml:space="preserve"> филиалом </w:t>
      </w:r>
      <w:proofErr w:type="spellStart"/>
      <w:r w:rsidR="001766F1">
        <w:rPr>
          <w:sz w:val="24"/>
          <w:szCs w:val="24"/>
        </w:rPr>
        <w:t>межпоселенческой</w:t>
      </w:r>
      <w:proofErr w:type="spellEnd"/>
      <w:r w:rsidR="001766F1">
        <w:rPr>
          <w:sz w:val="24"/>
          <w:szCs w:val="24"/>
        </w:rPr>
        <w:t xml:space="preserve">  библиотеки</w:t>
      </w:r>
      <w:r w:rsidRPr="00934312">
        <w:rPr>
          <w:sz w:val="24"/>
          <w:szCs w:val="24"/>
        </w:rPr>
        <w:t>, со</w:t>
      </w:r>
      <w:r w:rsidR="001766F1">
        <w:rPr>
          <w:sz w:val="24"/>
          <w:szCs w:val="24"/>
        </w:rPr>
        <w:t>здания музеев муниципального образования</w:t>
      </w:r>
      <w:proofErr w:type="gramStart"/>
      <w:r w:rsidR="001766F1">
        <w:rPr>
          <w:sz w:val="24"/>
          <w:szCs w:val="24"/>
        </w:rPr>
        <w:t xml:space="preserve"> </w:t>
      </w:r>
      <w:r w:rsidRPr="00934312">
        <w:rPr>
          <w:sz w:val="24"/>
          <w:szCs w:val="24"/>
        </w:rPr>
        <w:t>,</w:t>
      </w:r>
      <w:proofErr w:type="gramEnd"/>
      <w:r w:rsidRPr="00934312">
        <w:rPr>
          <w:sz w:val="24"/>
          <w:szCs w:val="24"/>
        </w:rPr>
        <w:t xml:space="preserve"> создания условий для обеспечения поселений, входящи</w:t>
      </w:r>
      <w:r w:rsidR="001766F1">
        <w:rPr>
          <w:sz w:val="24"/>
          <w:szCs w:val="24"/>
        </w:rPr>
        <w:t xml:space="preserve">х в состав муниципального образования </w:t>
      </w:r>
      <w:r w:rsidRPr="00934312">
        <w:rPr>
          <w:sz w:val="24"/>
          <w:szCs w:val="24"/>
        </w:rPr>
        <w:t>,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616AEA">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w:t>
      </w:r>
      <w:proofErr w:type="gramStart"/>
      <w:r w:rsidR="00934312" w:rsidRPr="00934312">
        <w:rPr>
          <w:sz w:val="24"/>
          <w:szCs w:val="24"/>
        </w:rPr>
        <w:t>обеспечения условий доступности организаций культуры</w:t>
      </w:r>
      <w:proofErr w:type="gramEnd"/>
      <w:r w:rsidR="00934312" w:rsidRPr="00934312">
        <w:rPr>
          <w:sz w:val="24"/>
          <w:szCs w:val="24"/>
        </w:rPr>
        <w:t xml:space="preserve"> для инвалидов устанавливается в соответствии с законодательством Российской Федерации о социальной защите инвалидов</w:t>
      </w:r>
      <w:bookmarkStart w:id="0" w:name="_GoBack"/>
      <w:bookmarkEnd w:id="0"/>
      <w:r w:rsidR="00934312" w:rsidRPr="00934312">
        <w:rPr>
          <w:sz w:val="24"/>
          <w:szCs w:val="24"/>
        </w:rPr>
        <w:t>.</w:t>
      </w:r>
    </w:p>
    <w:p w:rsidR="00934312" w:rsidRPr="00934312" w:rsidRDefault="00616AEA" w:rsidP="00934312">
      <w:pPr>
        <w:autoSpaceDE w:val="0"/>
        <w:autoSpaceDN w:val="0"/>
        <w:adjustRightInd w:val="0"/>
        <w:ind w:firstLine="540"/>
        <w:jc w:val="both"/>
        <w:rPr>
          <w:sz w:val="24"/>
          <w:szCs w:val="24"/>
        </w:rPr>
      </w:pPr>
      <w:r>
        <w:rPr>
          <w:sz w:val="24"/>
          <w:szCs w:val="24"/>
        </w:rPr>
        <w:t xml:space="preserve">в) </w:t>
      </w:r>
      <w:r w:rsidR="00934312"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00934312" w:rsidRPr="00934312">
        <w:rPr>
          <w:sz w:val="24"/>
          <w:szCs w:val="24"/>
        </w:rPr>
        <w:t>пользования</w:t>
      </w:r>
      <w:proofErr w:type="gramEnd"/>
      <w:r w:rsidR="00934312"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616AEA">
      <w:pPr>
        <w:autoSpaceDE w:val="0"/>
        <w:autoSpaceDN w:val="0"/>
        <w:adjustRightInd w:val="0"/>
        <w:ind w:firstLine="540"/>
        <w:jc w:val="both"/>
        <w:rPr>
          <w:sz w:val="24"/>
          <w:szCs w:val="24"/>
        </w:rPr>
      </w:pPr>
      <w:proofErr w:type="gramStart"/>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roofErr w:type="gramEnd"/>
    </w:p>
    <w:p w:rsidR="00934312" w:rsidRPr="00934312" w:rsidRDefault="00070F5F" w:rsidP="00934312">
      <w:pPr>
        <w:autoSpaceDE w:val="0"/>
        <w:autoSpaceDN w:val="0"/>
        <w:adjustRightInd w:val="0"/>
        <w:ind w:firstLine="540"/>
        <w:jc w:val="both"/>
        <w:rPr>
          <w:sz w:val="24"/>
          <w:szCs w:val="24"/>
        </w:rPr>
      </w:pPr>
      <w:proofErr w:type="spellStart"/>
      <w:r>
        <w:rPr>
          <w:sz w:val="24"/>
          <w:szCs w:val="24"/>
        </w:rPr>
        <w:t>д</w:t>
      </w:r>
      <w:proofErr w:type="spellEnd"/>
      <w:r>
        <w:rPr>
          <w:sz w:val="24"/>
          <w:szCs w:val="24"/>
        </w:rPr>
        <w:t>)</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616AEA">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595A4A" w:rsidRDefault="00595A4A">
      <w:pPr>
        <w:spacing w:line="200" w:lineRule="exact"/>
        <w:rPr>
          <w:sz w:val="20"/>
          <w:szCs w:val="20"/>
        </w:rPr>
      </w:pPr>
    </w:p>
    <w:p w:rsidR="00595A4A" w:rsidRDefault="00595A4A">
      <w:pPr>
        <w:spacing w:line="200" w:lineRule="exact"/>
        <w:rPr>
          <w:sz w:val="20"/>
          <w:szCs w:val="20"/>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2242"/>
    <w:rsid w:val="00070F5F"/>
    <w:rsid w:val="000E767D"/>
    <w:rsid w:val="0012624B"/>
    <w:rsid w:val="00164721"/>
    <w:rsid w:val="001729A1"/>
    <w:rsid w:val="001766F1"/>
    <w:rsid w:val="00190DBB"/>
    <w:rsid w:val="00237B79"/>
    <w:rsid w:val="00300CF6"/>
    <w:rsid w:val="00401690"/>
    <w:rsid w:val="00427E66"/>
    <w:rsid w:val="004B3937"/>
    <w:rsid w:val="004D540D"/>
    <w:rsid w:val="004F7E24"/>
    <w:rsid w:val="005870D6"/>
    <w:rsid w:val="00595A4A"/>
    <w:rsid w:val="00616AEA"/>
    <w:rsid w:val="00695245"/>
    <w:rsid w:val="006D3644"/>
    <w:rsid w:val="007118FE"/>
    <w:rsid w:val="0071752E"/>
    <w:rsid w:val="00745AF5"/>
    <w:rsid w:val="00776176"/>
    <w:rsid w:val="00876E94"/>
    <w:rsid w:val="008B4AD1"/>
    <w:rsid w:val="0091320B"/>
    <w:rsid w:val="00934312"/>
    <w:rsid w:val="0098038F"/>
    <w:rsid w:val="00A6688B"/>
    <w:rsid w:val="00A771BE"/>
    <w:rsid w:val="00A8017F"/>
    <w:rsid w:val="00A94D86"/>
    <w:rsid w:val="00AE1DB9"/>
    <w:rsid w:val="00B30B93"/>
    <w:rsid w:val="00B47F5E"/>
    <w:rsid w:val="00BC2C06"/>
    <w:rsid w:val="00C01A45"/>
    <w:rsid w:val="00C22E67"/>
    <w:rsid w:val="00D55A11"/>
    <w:rsid w:val="00DF7D0F"/>
    <w:rsid w:val="00F5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16000</Words>
  <Characters>91205</Characters>
  <Application>Microsoft Office Word</Application>
  <DocSecurity>0</DocSecurity>
  <Lines>760</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3</cp:revision>
  <dcterms:created xsi:type="dcterms:W3CDTF">2017-07-11T09:19:00Z</dcterms:created>
  <dcterms:modified xsi:type="dcterms:W3CDTF">2017-07-11T08:37:00Z</dcterms:modified>
</cp:coreProperties>
</file>